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C1539E4"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006D5A42">
        <w:rPr>
          <w:rFonts w:ascii="Arial" w:hAnsi="Arial" w:cs="Arial"/>
          <w:b/>
          <w:bCs/>
          <w:sz w:val="24"/>
        </w:rPr>
        <w:t xml:space="preserve"> bis</w:t>
      </w:r>
      <w:r w:rsidRPr="00AE75E3">
        <w:rPr>
          <w:rFonts w:ascii="Arial" w:hAnsi="Arial" w:cs="Arial"/>
          <w:b/>
          <w:bCs/>
          <w:sz w:val="24"/>
        </w:rPr>
        <w:tab/>
      </w:r>
      <w:r w:rsidR="008E379C" w:rsidRPr="008E379C">
        <w:rPr>
          <w:rFonts w:ascii="Arial" w:hAnsi="Arial" w:cs="Arial"/>
          <w:b/>
          <w:bCs/>
          <w:sz w:val="24"/>
        </w:rPr>
        <w:t>S2-187889</w:t>
      </w:r>
    </w:p>
    <w:p w14:paraId="56783384" w14:textId="3C4D70D3" w:rsidR="00CE2E68" w:rsidRPr="00F76B76" w:rsidRDefault="006D5A42"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Sophia Antipolis, France</w:t>
      </w:r>
      <w:r w:rsidR="00B82410" w:rsidRPr="00B82410">
        <w:rPr>
          <w:rFonts w:ascii="Arial" w:hAnsi="Arial" w:cs="Arial"/>
          <w:b/>
          <w:bCs/>
          <w:sz w:val="24"/>
          <w:szCs w:val="24"/>
        </w:rPr>
        <w:t>,</w:t>
      </w:r>
      <w:r>
        <w:rPr>
          <w:rFonts w:ascii="Arial" w:hAnsi="Arial" w:cs="Arial"/>
          <w:b/>
          <w:bCs/>
          <w:sz w:val="24"/>
          <w:szCs w:val="24"/>
        </w:rPr>
        <w:t xml:space="preserve"> August 20-24,</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AF8006B"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8E379C">
        <w:rPr>
          <w:rFonts w:ascii="Arial" w:hAnsi="Arial" w:cs="Arial"/>
          <w:b/>
        </w:rPr>
        <w:t>W</w:t>
      </w:r>
      <w:r w:rsidR="00D15A64">
        <w:rPr>
          <w:rFonts w:ascii="Arial" w:hAnsi="Arial" w:cs="Arial"/>
          <w:b/>
        </w:rPr>
        <w:t xml:space="preserve">ay forward for the Service request </w:t>
      </w:r>
      <w:r w:rsidR="008E379C">
        <w:rPr>
          <w:rFonts w:ascii="Arial" w:hAnsi="Arial" w:cs="Arial"/>
          <w:b/>
        </w:rPr>
        <w:t xml:space="preserve">triggered RRC connection establishment request </w:t>
      </w:r>
      <w:r w:rsidR="00D15A64">
        <w:rPr>
          <w:rFonts w:ascii="Arial" w:hAnsi="Arial" w:cs="Arial"/>
          <w:b/>
        </w:rPr>
        <w:t>NSSAI value</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6F09C5B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15A64">
        <w:rPr>
          <w:rFonts w:ascii="Arial" w:hAnsi="Arial" w:cs="Arial"/>
          <w:b/>
        </w:rPr>
        <w:t>6.5.1</w:t>
      </w:r>
    </w:p>
    <w:p w14:paraId="5744C723" w14:textId="0410938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15A64">
        <w:rPr>
          <w:rFonts w:ascii="Arial" w:hAnsi="Arial" w:cs="Arial"/>
          <w:b/>
          <w:lang w:eastAsia="zh-CN"/>
        </w:rPr>
        <w:t>5GS_Ph1/rel15</w:t>
      </w:r>
    </w:p>
    <w:p w14:paraId="049875D7" w14:textId="75E91E42"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D15A64">
        <w:rPr>
          <w:rFonts w:ascii="Arial" w:hAnsi="Arial" w:cs="Arial"/>
          <w:i/>
          <w:lang w:eastAsia="zh-CN"/>
        </w:rPr>
        <w:t xml:space="preserve">this paper proposes a compromise way forward on how to handle the access stratum NSSAI </w:t>
      </w:r>
      <w:r w:rsidR="00976673">
        <w:rPr>
          <w:rFonts w:ascii="Arial" w:hAnsi="Arial" w:cs="Arial"/>
          <w:i/>
          <w:lang w:eastAsia="zh-CN"/>
        </w:rPr>
        <w:t>value</w:t>
      </w:r>
      <w:r w:rsidR="00D15A64">
        <w:rPr>
          <w:rFonts w:ascii="Arial" w:hAnsi="Arial" w:cs="Arial"/>
          <w:i/>
          <w:lang w:eastAsia="zh-CN"/>
        </w:rPr>
        <w:t xml:space="preserve"> </w:t>
      </w:r>
      <w:r w:rsidR="00976673">
        <w:rPr>
          <w:rFonts w:ascii="Arial" w:hAnsi="Arial" w:cs="Arial"/>
          <w:i/>
          <w:lang w:eastAsia="zh-CN"/>
        </w:rPr>
        <w:t>included</w:t>
      </w:r>
      <w:r w:rsidR="00D15A64">
        <w:rPr>
          <w:rFonts w:ascii="Arial" w:hAnsi="Arial" w:cs="Arial"/>
          <w:i/>
          <w:lang w:eastAsia="zh-CN"/>
        </w:rPr>
        <w:t xml:space="preserve"> in msg 5 of the service request.</w:t>
      </w:r>
    </w:p>
    <w:p w14:paraId="5074B770" w14:textId="05439A83" w:rsidR="00F85520" w:rsidRDefault="00CB7144" w:rsidP="006D2A1A">
      <w:pPr>
        <w:pStyle w:val="Heading1"/>
      </w:pPr>
      <w:r>
        <w:t>1</w:t>
      </w:r>
      <w:r w:rsidR="00F85520">
        <w:t>.</w:t>
      </w:r>
      <w:r w:rsidR="00F85520">
        <w:tab/>
      </w:r>
      <w:r w:rsidR="006D5A42">
        <w:t>Introduction</w:t>
      </w:r>
      <w:r w:rsidR="00F85520" w:rsidRPr="00DB6B32">
        <w:t xml:space="preserve"> </w:t>
      </w:r>
    </w:p>
    <w:p w14:paraId="23DAC72A" w14:textId="21131592" w:rsidR="006D5A42" w:rsidRDefault="00D15A64" w:rsidP="006D2A1A">
      <w:r>
        <w:t>For quite some time, probably more than a year, we have been debating</w:t>
      </w:r>
      <w:r w:rsidR="008D01B2">
        <w:t xml:space="preserve"> in SA2 and RAN2</w:t>
      </w:r>
      <w:r>
        <w:t xml:space="preserve"> what NSSAI value to include in the RRC Connection Establishment msg5 for the specific case of the service request triggered connection establishment. Various opinions have emerged and some merits can be identified in some comments on all sides.</w:t>
      </w:r>
    </w:p>
    <w:p w14:paraId="0E9BD04F" w14:textId="253901B1" w:rsidR="00D15A64" w:rsidRDefault="00D15A64" w:rsidP="006D2A1A">
      <w:r>
        <w:t>This paper does not try to identify which position should prevail, rather it attempts to take a step back and reconsider the issue from another angle.</w:t>
      </w:r>
    </w:p>
    <w:p w14:paraId="1702B8A6" w14:textId="4BE9A5B8" w:rsidR="00D15A64" w:rsidRDefault="00D15A64" w:rsidP="006D2A1A">
      <w:pPr>
        <w:pStyle w:val="Heading1"/>
      </w:pPr>
      <w:r>
        <w:t xml:space="preserve">2. </w:t>
      </w:r>
      <w:r>
        <w:tab/>
        <w:t>Discussion</w:t>
      </w:r>
    </w:p>
    <w:p w14:paraId="5D875151" w14:textId="6100379F" w:rsidR="00D15A64" w:rsidRDefault="00D15A64" w:rsidP="006D2A1A">
      <w:r>
        <w:t xml:space="preserve">The main crux of the debate has been whether it is more </w:t>
      </w:r>
      <w:r w:rsidR="00976673">
        <w:t>meaningful</w:t>
      </w:r>
      <w:r>
        <w:t xml:space="preserve"> to include all the S-NSSAIs of the allowed NSSAI </w:t>
      </w:r>
      <w:r w:rsidR="00AF016F">
        <w:t xml:space="preserve"> in the NSSAI </w:t>
      </w:r>
      <w:r w:rsidR="00976673">
        <w:t>information</w:t>
      </w:r>
      <w:r w:rsidR="00AF016F">
        <w:t xml:space="preserve"> in</w:t>
      </w:r>
      <w:r>
        <w:t xml:space="preserve"> the RRC connection establishment msg5 or just those of the Slice(s) that is (are) triggering the Service request.</w:t>
      </w:r>
      <w:r w:rsidR="00AF016F">
        <w:t xml:space="preserve"> Note that a service request may </w:t>
      </w:r>
      <w:r w:rsidR="00976673">
        <w:t>reactivate</w:t>
      </w:r>
      <w:r w:rsidR="00AF016F">
        <w:t xml:space="preserve"> all the PDU sessions in one go or </w:t>
      </w:r>
      <w:r w:rsidR="00976673">
        <w:t>j</w:t>
      </w:r>
      <w:r w:rsidR="00AF016F">
        <w:t>ust a selected few or just one</w:t>
      </w:r>
      <w:r w:rsidR="008D01B2">
        <w:t>, for example, or the SR may be related to MT signalling or data so it is not clear what S-NSSAI triggers the SR (so all</w:t>
      </w:r>
      <w:r w:rsidR="00324C12">
        <w:t xml:space="preserve"> allowed</w:t>
      </w:r>
      <w:r w:rsidR="008D01B2">
        <w:t xml:space="preserve"> slices S-NSSAIs should be in principle potential target of the MT signalling or data)</w:t>
      </w:r>
      <w:r w:rsidR="00AF016F">
        <w:t>.</w:t>
      </w:r>
    </w:p>
    <w:p w14:paraId="05F310D7" w14:textId="390598AC" w:rsidR="00AF016F" w:rsidRDefault="00AF016F" w:rsidP="006D2A1A">
      <w:r>
        <w:t>The RAN may use the received NSSAI information</w:t>
      </w:r>
      <w:r w:rsidR="00333288">
        <w:t xml:space="preserve"> in RRC msg5</w:t>
      </w:r>
      <w:r>
        <w:t xml:space="preserve"> to trigger some initial access policies ahead of contacting the core network. </w:t>
      </w:r>
      <w:r w:rsidR="008D01B2">
        <w:t>The</w:t>
      </w:r>
      <w:r>
        <w:t xml:space="preserve"> benefit of including the full Allowed NSSAI or a subset of it</w:t>
      </w:r>
      <w:r w:rsidR="008D01B2">
        <w:t xml:space="preserve"> (which is the set of the Slices triggering the SR)</w:t>
      </w:r>
      <w:r>
        <w:t xml:space="preserve"> in the RRC Connection Establishment msg 5, is predicated on the PLMN having configured such polices in the RAN. A PLMN may ch</w:t>
      </w:r>
      <w:r w:rsidR="006D2A1A">
        <w:t>o</w:t>
      </w:r>
      <w:r>
        <w:t>ose to not configure such policies. A PLMN may also decide to configure these in certain areas of the netw</w:t>
      </w:r>
      <w:r w:rsidR="006D2A1A">
        <w:t>or</w:t>
      </w:r>
      <w:r>
        <w:t>k but not others</w:t>
      </w:r>
      <w:r w:rsidR="00324C12">
        <w:t>.</w:t>
      </w:r>
      <w:r w:rsidR="006D2A1A">
        <w:t xml:space="preserve"> Also some operators may be just happy to consider the slices that are immediately used</w:t>
      </w:r>
      <w:r w:rsidR="00333288">
        <w:t xml:space="preserve"> by the UE</w:t>
      </w:r>
      <w:r w:rsidR="006D2A1A">
        <w:t xml:space="preserve"> for the initial access policies, and defer any subsequent treatment to the received Allowed NSSAI from the CN.</w:t>
      </w:r>
    </w:p>
    <w:p w14:paraId="49E8EF96" w14:textId="42D86756" w:rsidR="008E4633" w:rsidRDefault="00AF016F" w:rsidP="008E4633">
      <w:r>
        <w:t>I</w:t>
      </w:r>
      <w:r w:rsidR="006D2A1A">
        <w:t>t</w:t>
      </w:r>
      <w:r>
        <w:t xml:space="preserve"> is </w:t>
      </w:r>
      <w:r w:rsidR="00976673">
        <w:t>therefore</w:t>
      </w:r>
      <w:r>
        <w:t xml:space="preserve"> proposed that a PLMN can </w:t>
      </w:r>
      <w:r w:rsidR="00976673">
        <w:t>instruct</w:t>
      </w:r>
      <w:r>
        <w:t xml:space="preserve"> the UE on which </w:t>
      </w:r>
      <w:r w:rsidR="00976673">
        <w:t>behaviour</w:t>
      </w:r>
      <w:r>
        <w:t xml:space="preserve"> to adopt</w:t>
      </w:r>
      <w:r w:rsidR="006D2A1A">
        <w:t xml:space="preserve"> in </w:t>
      </w:r>
      <w:r w:rsidR="00976673">
        <w:t>the</w:t>
      </w:r>
      <w:r w:rsidR="006D2A1A">
        <w:t xml:space="preserve"> R</w:t>
      </w:r>
      <w:r>
        <w:t xml:space="preserve">egistration </w:t>
      </w:r>
      <w:r w:rsidR="006D2A1A">
        <w:t>Accept Message</w:t>
      </w:r>
      <w:r>
        <w:t xml:space="preserve"> (note that the UE is </w:t>
      </w:r>
      <w:r w:rsidR="00976673">
        <w:t>expected</w:t>
      </w:r>
      <w:r>
        <w:t xml:space="preserve"> to include a </w:t>
      </w:r>
      <w:r w:rsidR="00324C12">
        <w:t>R</w:t>
      </w:r>
      <w:r>
        <w:t xml:space="preserve">equested NSSAI in </w:t>
      </w:r>
      <w:r w:rsidR="00976673">
        <w:t>the</w:t>
      </w:r>
      <w:r>
        <w:t xml:space="preserve"> registration request anyhow so we do not discuss here the behaviour for Registration messages)</w:t>
      </w:r>
      <w:r w:rsidR="006D2A1A">
        <w:t xml:space="preserve"> by including </w:t>
      </w:r>
      <w:r w:rsidR="008E4633">
        <w:t>an indication as to whether the UE shall include in the Access Stratum Connection Establishment caused by a Service Request:</w:t>
      </w:r>
    </w:p>
    <w:p w14:paraId="083C3054" w14:textId="77777777" w:rsidR="008E4633" w:rsidRDefault="008E4633" w:rsidP="008E4633">
      <w:pPr>
        <w:pStyle w:val="B1"/>
      </w:pPr>
      <w:r>
        <w:t>a)</w:t>
      </w:r>
      <w:r>
        <w:tab/>
        <w:t>NSSAI set to the Allowed NSSAI for the UE; or</w:t>
      </w:r>
    </w:p>
    <w:p w14:paraId="0816AA09" w14:textId="77777777" w:rsidR="008E4633" w:rsidRDefault="008E4633" w:rsidP="008E4633">
      <w:pPr>
        <w:pStyle w:val="B1"/>
      </w:pPr>
      <w:r>
        <w:t>b)</w:t>
      </w:r>
      <w:r>
        <w:tab/>
        <w:t>NSSAI including the S-NSSAI(s) of the Network Slice(s) that trigger the Connection Establishment; or</w:t>
      </w:r>
    </w:p>
    <w:p w14:paraId="6885D27D" w14:textId="77777777" w:rsidR="008E4633" w:rsidRPr="00062190" w:rsidRDefault="008E4633" w:rsidP="008E4633">
      <w:pPr>
        <w:pStyle w:val="B1"/>
        <w:rPr>
          <w:lang w:val="x-none"/>
        </w:rPr>
      </w:pPr>
      <w:r>
        <w:t>c)</w:t>
      </w:r>
      <w:r>
        <w:tab/>
        <w:t>No NSSAI.</w:t>
      </w:r>
    </w:p>
    <w:p w14:paraId="70E90097" w14:textId="7027034E" w:rsidR="008E4633" w:rsidRDefault="008E4633" w:rsidP="008E4633">
      <w:r>
        <w:t>The indication is based on the policies implemented in the (R)AN nodes in the Registration area: if at least some (R)AN node in the Registration area requires to know all the NSSAIs in the Allowed NSSAI, mode a) applies, other</w:t>
      </w:r>
      <w:r w:rsidR="008D01B2">
        <w:t>wise</w:t>
      </w:r>
      <w:r>
        <w:t xml:space="preserve"> mode b) applies unless no Initial </w:t>
      </w:r>
      <w:r w:rsidR="008D01B2">
        <w:t>A</w:t>
      </w:r>
      <w:r>
        <w:t>ccess policy is deployed in the RA</w:t>
      </w:r>
      <w:r w:rsidR="008D01B2">
        <w:t>N in the RA</w:t>
      </w:r>
      <w:r>
        <w:t>, in which case mode c) applies.</w:t>
      </w:r>
      <w:r w:rsidR="00C11BC5">
        <w:t xml:space="preserve"> </w:t>
      </w:r>
      <w:r w:rsidR="00324C12">
        <w:t>As another example: i</w:t>
      </w:r>
      <w:bookmarkStart w:id="2" w:name="_GoBack"/>
      <w:bookmarkEnd w:id="2"/>
      <w:r w:rsidR="00324C12">
        <w:t>f</w:t>
      </w:r>
      <w:r w:rsidR="00C11BC5" w:rsidRPr="00C11BC5">
        <w:t xml:space="preserve"> the operator requires knowledge of the Allowed NSSAI to implement the AMF overload control defined in clause 5.19.5.2</w:t>
      </w:r>
      <w:r w:rsidR="00C11BC5">
        <w:t xml:space="preserve"> of TS 23.501</w:t>
      </w:r>
      <w:r w:rsidR="00C11BC5" w:rsidRPr="00C11BC5">
        <w:t>, then Mode a) applies.</w:t>
      </w:r>
    </w:p>
    <w:p w14:paraId="5155B070" w14:textId="42619BC1" w:rsidR="006D2A1A" w:rsidRDefault="006D2A1A" w:rsidP="006D2A1A">
      <w:pPr>
        <w:pStyle w:val="Heading1"/>
      </w:pPr>
      <w:r>
        <w:lastRenderedPageBreak/>
        <w:t>3.</w:t>
      </w:r>
      <w:r>
        <w:tab/>
        <w:t>Proposal</w:t>
      </w:r>
    </w:p>
    <w:p w14:paraId="35A10811" w14:textId="4CADA0FA" w:rsidR="006D2A1A" w:rsidRPr="006D2A1A" w:rsidRDefault="006D2A1A" w:rsidP="006D2A1A">
      <w:r>
        <w:t xml:space="preserve">It is proposed that the </w:t>
      </w:r>
      <w:r w:rsidR="00333288">
        <w:t xml:space="preserve">way forward </w:t>
      </w:r>
      <w:r>
        <w:t>discussed above is adopted and the related CRs are approved.</w:t>
      </w:r>
    </w:p>
    <w:sectPr w:rsidR="006D2A1A" w:rsidRPr="006D2A1A"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A961E" w14:textId="77777777" w:rsidR="00B532AE" w:rsidRDefault="00B532AE">
      <w:r>
        <w:separator/>
      </w:r>
    </w:p>
    <w:p w14:paraId="396DCB46" w14:textId="77777777" w:rsidR="00B532AE" w:rsidRDefault="00B532AE"/>
  </w:endnote>
  <w:endnote w:type="continuationSeparator" w:id="0">
    <w:p w14:paraId="04896700" w14:textId="77777777" w:rsidR="00B532AE" w:rsidRDefault="00B532AE">
      <w:r>
        <w:continuationSeparator/>
      </w:r>
    </w:p>
    <w:p w14:paraId="26412645" w14:textId="77777777" w:rsidR="00B532AE" w:rsidRDefault="00B53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24C54" w14:textId="77777777" w:rsidR="00B532AE" w:rsidRDefault="00B532AE">
      <w:r>
        <w:separator/>
      </w:r>
    </w:p>
    <w:p w14:paraId="14C719B2" w14:textId="77777777" w:rsidR="00B532AE" w:rsidRDefault="00B532AE"/>
  </w:footnote>
  <w:footnote w:type="continuationSeparator" w:id="0">
    <w:p w14:paraId="4619EFBB" w14:textId="77777777" w:rsidR="00B532AE" w:rsidRDefault="00B532AE">
      <w:r>
        <w:continuationSeparator/>
      </w:r>
    </w:p>
    <w:p w14:paraId="6C0EBF5C" w14:textId="77777777" w:rsidR="00B532AE" w:rsidRDefault="00B53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8F4267F"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4C12">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0166217"/>
    <w:multiLevelType w:val="hybridMultilevel"/>
    <w:tmpl w:val="8F9CDA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E64023"/>
    <w:multiLevelType w:val="hybridMultilevel"/>
    <w:tmpl w:val="814225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1726BDE"/>
    <w:multiLevelType w:val="hybridMultilevel"/>
    <w:tmpl w:val="5686CC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8"/>
  </w:num>
  <w:num w:numId="6">
    <w:abstractNumId w:val="20"/>
  </w:num>
  <w:num w:numId="7">
    <w:abstractNumId w:val="19"/>
  </w:num>
  <w:num w:numId="8">
    <w:abstractNumId w:val="31"/>
  </w:num>
  <w:num w:numId="9">
    <w:abstractNumId w:val="30"/>
  </w:num>
  <w:num w:numId="10">
    <w:abstractNumId w:val="22"/>
  </w:num>
  <w:num w:numId="11">
    <w:abstractNumId w:val="17"/>
  </w:num>
  <w:num w:numId="12">
    <w:abstractNumId w:val="43"/>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5"/>
  </w:num>
  <w:num w:numId="28">
    <w:abstractNumId w:val="16"/>
  </w:num>
  <w:num w:numId="29">
    <w:abstractNumId w:val="46"/>
  </w:num>
  <w:num w:numId="30">
    <w:abstractNumId w:val="14"/>
  </w:num>
  <w:num w:numId="31">
    <w:abstractNumId w:val="39"/>
  </w:num>
  <w:num w:numId="32">
    <w:abstractNumId w:val="36"/>
  </w:num>
  <w:num w:numId="33">
    <w:abstractNumId w:val="15"/>
  </w:num>
  <w:num w:numId="34">
    <w:abstractNumId w:val="41"/>
  </w:num>
  <w:num w:numId="35">
    <w:abstractNumId w:val="35"/>
  </w:num>
  <w:num w:numId="36">
    <w:abstractNumId w:val="42"/>
  </w:num>
  <w:num w:numId="37">
    <w:abstractNumId w:val="23"/>
  </w:num>
  <w:num w:numId="38">
    <w:abstractNumId w:val="25"/>
  </w:num>
  <w:num w:numId="39">
    <w:abstractNumId w:val="26"/>
  </w:num>
  <w:num w:numId="40">
    <w:abstractNumId w:val="28"/>
  </w:num>
  <w:num w:numId="41">
    <w:abstractNumId w:val="24"/>
  </w:num>
  <w:num w:numId="42">
    <w:abstractNumId w:val="44"/>
  </w:num>
  <w:num w:numId="43">
    <w:abstractNumId w:val="32"/>
  </w:num>
  <w:num w:numId="44">
    <w:abstractNumId w:val="21"/>
  </w:num>
  <w:num w:numId="45">
    <w:abstractNumId w:val="18"/>
  </w:num>
  <w:num w:numId="46">
    <w:abstractNumId w:val="40"/>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96A"/>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37D5A"/>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225F5"/>
    <w:rsid w:val="00324C12"/>
    <w:rsid w:val="003257D2"/>
    <w:rsid w:val="00325F20"/>
    <w:rsid w:val="0033074C"/>
    <w:rsid w:val="00330C3E"/>
    <w:rsid w:val="00331DF1"/>
    <w:rsid w:val="00332B7C"/>
    <w:rsid w:val="00333288"/>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43FE5"/>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061E"/>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C69CD"/>
    <w:rsid w:val="006D2A1A"/>
    <w:rsid w:val="006D5A42"/>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380E"/>
    <w:rsid w:val="00763CF0"/>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3975"/>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86D0D"/>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01B2"/>
    <w:rsid w:val="008D10CA"/>
    <w:rsid w:val="008D34F8"/>
    <w:rsid w:val="008E1DEF"/>
    <w:rsid w:val="008E20C9"/>
    <w:rsid w:val="008E36C0"/>
    <w:rsid w:val="008E379C"/>
    <w:rsid w:val="008E39F4"/>
    <w:rsid w:val="008E4633"/>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76673"/>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C742B"/>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16F"/>
    <w:rsid w:val="00AF093A"/>
    <w:rsid w:val="00AF0C3D"/>
    <w:rsid w:val="00AF6554"/>
    <w:rsid w:val="00AF71BB"/>
    <w:rsid w:val="00AF7284"/>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2AE"/>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1C36"/>
    <w:rsid w:val="00BC2E3D"/>
    <w:rsid w:val="00BC3196"/>
    <w:rsid w:val="00BC49C4"/>
    <w:rsid w:val="00BC62BF"/>
    <w:rsid w:val="00BC7270"/>
    <w:rsid w:val="00BC7BCA"/>
    <w:rsid w:val="00BD2A2D"/>
    <w:rsid w:val="00BD2F05"/>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1BC5"/>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240"/>
    <w:rsid w:val="00C563D8"/>
    <w:rsid w:val="00C57877"/>
    <w:rsid w:val="00C634B5"/>
    <w:rsid w:val="00C63788"/>
    <w:rsid w:val="00C657AE"/>
    <w:rsid w:val="00C67DBC"/>
    <w:rsid w:val="00C719F7"/>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5A64"/>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665"/>
    <w:rsid w:val="00D70715"/>
    <w:rsid w:val="00D707CD"/>
    <w:rsid w:val="00D72549"/>
    <w:rsid w:val="00D72A4A"/>
    <w:rsid w:val="00D76415"/>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540F5-B21A-4072-89C8-A5967F9B0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cp:lastModifiedBy>
  <cp:revision>13</cp:revision>
  <cp:lastPrinted>2018-04-24T20:10:00Z</cp:lastPrinted>
  <dcterms:created xsi:type="dcterms:W3CDTF">2018-07-05T05:35:00Z</dcterms:created>
  <dcterms:modified xsi:type="dcterms:W3CDTF">2018-08-14T10:00:00Z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